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908" w:rsidRDefault="00A77908" w:rsidP="00A77908">
      <w:pPr>
        <w:suppressLineNumbers/>
        <w:rPr>
          <w:sz w:val="26"/>
          <w:szCs w:val="26"/>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A77908" w:rsidTr="00A77908">
        <w:trPr>
          <w:jc w:val="center"/>
        </w:trPr>
        <w:tc>
          <w:tcPr>
            <w:tcW w:w="743" w:type="dxa"/>
            <w:hideMark/>
          </w:tcPr>
          <w:p w:rsidR="00A77908" w:rsidRDefault="00A77908">
            <w:pPr>
              <w:jc w:val="both"/>
              <w:rPr>
                <w:rFonts w:ascii="Arial (W1)" w:hAnsi="Arial (W1)"/>
                <w:b/>
                <w:bCs/>
                <w:sz w:val="28"/>
                <w:szCs w:val="28"/>
              </w:rPr>
            </w:pPr>
            <w:r>
              <w:rPr>
                <w:b/>
                <w:bCs/>
                <w:sz w:val="28"/>
                <w:rtl/>
              </w:rPr>
              <w:t xml:space="preserve">לפני </w:t>
            </w:r>
          </w:p>
        </w:tc>
        <w:tc>
          <w:tcPr>
            <w:tcW w:w="8077" w:type="dxa"/>
            <w:gridSpan w:val="2"/>
            <w:hideMark/>
          </w:tcPr>
          <w:p w:rsidR="00A77908" w:rsidRDefault="00A77908">
            <w:pPr>
              <w:rPr>
                <w:rFonts w:ascii="Arial" w:hAnsi="Arial"/>
                <w:b/>
                <w:bCs/>
              </w:rPr>
            </w:pPr>
            <w:r>
              <w:rPr>
                <w:rFonts w:ascii="Arial" w:hAnsi="Arial"/>
                <w:b/>
                <w:bCs/>
                <w:rtl/>
              </w:rPr>
              <w:t>כבוד ה</w:t>
            </w:r>
            <w:sdt>
              <w:sdtPr>
                <w:rPr>
                  <w:rtl/>
                </w:rPr>
                <w:alias w:val="1574"/>
                <w:tag w:val="1574"/>
                <w:id w:val="-868990752"/>
                <w:text w:multiLine="1"/>
              </w:sdtPr>
              <w:sdtEndPr/>
              <w:sdtContent>
                <w:r>
                  <w:rPr>
                    <w:rFonts w:ascii="Arial" w:hAnsi="Arial"/>
                    <w:b/>
                    <w:bCs/>
                    <w:rtl/>
                  </w:rPr>
                  <w:t>שופט</w:t>
                </w:r>
              </w:sdtContent>
            </w:sdt>
            <w:r>
              <w:rPr>
                <w:rFonts w:ascii="Arial" w:hAnsi="Arial"/>
                <w:b/>
                <w:bCs/>
                <w:rtl/>
              </w:rPr>
              <w:t xml:space="preserve">  </w:t>
            </w:r>
            <w:sdt>
              <w:sdtPr>
                <w:rPr>
                  <w:rtl/>
                </w:rPr>
                <w:alias w:val="1573"/>
                <w:tag w:val="1573"/>
                <w:id w:val="407734867"/>
                <w:text w:multiLine="1"/>
              </w:sdtPr>
              <w:sdtEndPr/>
              <w:sdtContent>
                <w:r>
                  <w:rPr>
                    <w:rFonts w:ascii="Arial" w:hAnsi="Arial"/>
                    <w:b/>
                    <w:bCs/>
                    <w:rtl/>
                  </w:rPr>
                  <w:t>בן שלו</w:t>
                </w:r>
              </w:sdtContent>
            </w:sdt>
          </w:p>
        </w:tc>
      </w:tr>
      <w:tr w:rsidR="00A77908" w:rsidTr="00A77908">
        <w:trPr>
          <w:jc w:val="center"/>
        </w:trPr>
        <w:tc>
          <w:tcPr>
            <w:tcW w:w="3249" w:type="dxa"/>
            <w:gridSpan w:val="2"/>
          </w:tcPr>
          <w:p w:rsidR="00A77908" w:rsidRDefault="00A77908">
            <w:pPr>
              <w:bidi w:val="0"/>
              <w:rPr>
                <w:rFonts w:ascii="Arial (W1)" w:hAnsi="Arial (W1)"/>
                <w:b/>
                <w:bCs/>
                <w:noProof w:val="0"/>
                <w:sz w:val="28"/>
                <w:szCs w:val="28"/>
                <w:rtl/>
              </w:rPr>
            </w:pPr>
          </w:p>
          <w:sdt>
            <w:sdtPr>
              <w:rPr>
                <w:rtl/>
              </w:rPr>
              <w:alias w:val="1180"/>
              <w:tag w:val="1180"/>
              <w:id w:val="-803768281"/>
              <w:text w:multiLine="1"/>
            </w:sdtPr>
            <w:sdtEndPr/>
            <w:sdtContent>
              <w:p w:rsidR="00A77908" w:rsidRDefault="00A77908">
                <w:pPr>
                  <w:rPr>
                    <w:rFonts w:ascii="Arial (W1)" w:hAnsi="Arial (W1)"/>
                    <w:b/>
                    <w:bCs/>
                    <w:noProof w:val="0"/>
                    <w:sz w:val="28"/>
                    <w:szCs w:val="28"/>
                    <w:rtl/>
                  </w:rPr>
                </w:pPr>
                <w:r>
                  <w:rPr>
                    <w:b/>
                    <w:bCs/>
                    <w:noProof w:val="0"/>
                    <w:sz w:val="28"/>
                    <w:rtl/>
                  </w:rPr>
                  <w:t>תובעים</w:t>
                </w:r>
              </w:p>
            </w:sdtContent>
          </w:sdt>
        </w:tc>
        <w:tc>
          <w:tcPr>
            <w:tcW w:w="5571" w:type="dxa"/>
          </w:tcPr>
          <w:p w:rsidR="00A77908" w:rsidRDefault="00A77908">
            <w:pPr>
              <w:rPr>
                <w:rFonts w:ascii="Arial (W1)" w:hAnsi="Arial (W1)"/>
                <w:b/>
                <w:bCs/>
                <w:noProof w:val="0"/>
                <w:sz w:val="28"/>
                <w:szCs w:val="28"/>
              </w:rPr>
            </w:pPr>
          </w:p>
          <w:p w:rsidR="00A77908" w:rsidRDefault="001C5354" w:rsidP="00DA5B84">
            <w:pPr>
              <w:rPr>
                <w:rFonts w:ascii="Arial" w:hAnsi="Arial"/>
                <w:b/>
                <w:bCs/>
                <w:noProof w:val="0"/>
                <w:sz w:val="26"/>
                <w:szCs w:val="26"/>
                <w:rtl/>
              </w:rPr>
            </w:pPr>
            <w:sdt>
              <w:sdtPr>
                <w:rPr>
                  <w:b/>
                  <w:bCs/>
                  <w:noProof w:val="0"/>
                  <w:sz w:val="28"/>
                  <w:rtl/>
                </w:rPr>
                <w:alias w:val="1462"/>
                <w:tag w:val="1462"/>
                <w:id w:val="-1143353124"/>
                <w:text w:multiLine="1"/>
              </w:sdtPr>
              <w:sdtEndPr/>
              <w:sdtContent>
                <w:r w:rsidR="00A77908">
                  <w:rPr>
                    <w:b/>
                    <w:bCs/>
                    <w:noProof w:val="0"/>
                    <w:sz w:val="28"/>
                    <w:rtl/>
                  </w:rPr>
                  <w:t>1</w:t>
                </w:r>
              </w:sdtContent>
            </w:sdt>
            <w:r w:rsidR="00A77908">
              <w:rPr>
                <w:b/>
                <w:bCs/>
                <w:noProof w:val="0"/>
                <w:sz w:val="28"/>
                <w:rtl/>
              </w:rPr>
              <w:t>.</w:t>
            </w:r>
            <w:sdt>
              <w:sdtPr>
                <w:rPr>
                  <w:b/>
                  <w:bCs/>
                  <w:noProof w:val="0"/>
                  <w:sz w:val="28"/>
                  <w:rtl/>
                </w:rPr>
                <w:alias w:val="1478"/>
                <w:tag w:val="1478"/>
                <w:id w:val="160126198"/>
                <w:text w:multiLine="1"/>
              </w:sdtPr>
              <w:sdtEndPr/>
              <w:sdtContent>
                <w:r w:rsidR="00DA5B84">
                  <w:rPr>
                    <w:b/>
                    <w:bCs/>
                    <w:noProof w:val="0"/>
                    <w:sz w:val="28"/>
                    <w:rtl/>
                  </w:rPr>
                  <w:t>ד</w:t>
                </w:r>
                <w:r w:rsidR="00DA5B84">
                  <w:rPr>
                    <w:rFonts w:hint="cs"/>
                    <w:b/>
                    <w:bCs/>
                    <w:noProof w:val="0"/>
                    <w:sz w:val="28"/>
                    <w:rtl/>
                  </w:rPr>
                  <w:t>.א.</w:t>
                </w:r>
              </w:sdtContent>
            </w:sdt>
            <w:r w:rsidR="00A77908">
              <w:rPr>
                <w:b/>
                <w:bCs/>
                <w:noProof w:val="0"/>
                <w:sz w:val="28"/>
                <w:rtl/>
              </w:rPr>
              <w:t xml:space="preserve"> </w:t>
            </w:r>
            <w:sdt>
              <w:sdtPr>
                <w:rPr>
                  <w:b/>
                  <w:bCs/>
                  <w:noProof w:val="0"/>
                  <w:sz w:val="28"/>
                  <w:rtl/>
                </w:rPr>
                <w:alias w:val="2315"/>
                <w:tag w:val="2315"/>
                <w:id w:val="815377524"/>
                <w:placeholder>
                  <w:docPart w:val="EC92F834941F4F56B4479C9B6B90DFB0"/>
                </w:placeholder>
                <w:text w:multiLine="1"/>
              </w:sdtPr>
              <w:sdtEndPr/>
              <w:sdtContent>
                <w:r w:rsidR="00A77908">
                  <w:rPr>
                    <w:b/>
                    <w:bCs/>
                    <w:noProof w:val="0"/>
                    <w:sz w:val="28"/>
                    <w:rtl/>
                  </w:rPr>
                  <w:t>ת"ז</w:t>
                </w:r>
              </w:sdtContent>
            </w:sdt>
            <w:r w:rsidR="00A77908">
              <w:rPr>
                <w:b/>
                <w:bCs/>
                <w:noProof w:val="0"/>
                <w:sz w:val="28"/>
                <w:rtl/>
              </w:rPr>
              <w:t xml:space="preserve"> </w:t>
            </w:r>
            <w:r w:rsidR="00DA5B84">
              <w:rPr>
                <w:rFonts w:hint="cs"/>
                <w:b/>
                <w:bCs/>
                <w:noProof w:val="0"/>
                <w:sz w:val="28"/>
              </w:rPr>
              <w:t>XXX</w:t>
            </w:r>
          </w:p>
          <w:p w:rsidR="00A77908" w:rsidRDefault="001C5354" w:rsidP="00DA5B84">
            <w:pPr>
              <w:rPr>
                <w:rFonts w:ascii="Arial (W1)" w:hAnsi="Arial (W1)"/>
                <w:b/>
                <w:bCs/>
                <w:noProof w:val="0"/>
                <w:sz w:val="28"/>
                <w:szCs w:val="28"/>
                <w:rtl/>
              </w:rPr>
            </w:pPr>
            <w:sdt>
              <w:sdtPr>
                <w:rPr>
                  <w:b/>
                  <w:bCs/>
                  <w:noProof w:val="0"/>
                  <w:sz w:val="28"/>
                  <w:rtl/>
                </w:rPr>
                <w:alias w:val="1462"/>
                <w:tag w:val="1462"/>
                <w:id w:val="-1768535375"/>
                <w:text w:multiLine="1"/>
              </w:sdtPr>
              <w:sdtEndPr/>
              <w:sdtContent>
                <w:r w:rsidR="00A77908">
                  <w:rPr>
                    <w:b/>
                    <w:bCs/>
                    <w:noProof w:val="0"/>
                    <w:sz w:val="28"/>
                    <w:rtl/>
                  </w:rPr>
                  <w:t>2</w:t>
                </w:r>
              </w:sdtContent>
            </w:sdt>
            <w:r w:rsidR="00A77908">
              <w:rPr>
                <w:b/>
                <w:bCs/>
                <w:noProof w:val="0"/>
                <w:sz w:val="28"/>
                <w:rtl/>
              </w:rPr>
              <w:t>.</w:t>
            </w:r>
            <w:sdt>
              <w:sdtPr>
                <w:rPr>
                  <w:b/>
                  <w:bCs/>
                  <w:noProof w:val="0"/>
                  <w:sz w:val="28"/>
                  <w:rtl/>
                </w:rPr>
                <w:alias w:val="1478"/>
                <w:tag w:val="1478"/>
                <w:id w:val="399412431"/>
                <w:text w:multiLine="1"/>
              </w:sdtPr>
              <w:sdtEndPr/>
              <w:sdtContent>
                <w:r w:rsidR="00DA5B84">
                  <w:rPr>
                    <w:b/>
                    <w:bCs/>
                    <w:noProof w:val="0"/>
                    <w:sz w:val="28"/>
                    <w:rtl/>
                  </w:rPr>
                  <w:t>ה</w:t>
                </w:r>
                <w:r w:rsidR="00DA5B84">
                  <w:rPr>
                    <w:rFonts w:hint="cs"/>
                    <w:b/>
                    <w:bCs/>
                    <w:noProof w:val="0"/>
                    <w:sz w:val="28"/>
                    <w:rtl/>
                  </w:rPr>
                  <w:t>.א.</w:t>
                </w:r>
              </w:sdtContent>
            </w:sdt>
            <w:r w:rsidR="00A77908">
              <w:rPr>
                <w:b/>
                <w:bCs/>
                <w:noProof w:val="0"/>
                <w:sz w:val="28"/>
                <w:rtl/>
              </w:rPr>
              <w:t xml:space="preserve"> </w:t>
            </w:r>
            <w:sdt>
              <w:sdtPr>
                <w:rPr>
                  <w:b/>
                  <w:bCs/>
                  <w:noProof w:val="0"/>
                  <w:sz w:val="28"/>
                  <w:rtl/>
                </w:rPr>
                <w:alias w:val="2315"/>
                <w:tag w:val="2315"/>
                <w:id w:val="782771792"/>
                <w:placeholder>
                  <w:docPart w:val="EC92F834941F4F56B4479C9B6B90DFB0"/>
                </w:placeholder>
                <w:text w:multiLine="1"/>
              </w:sdtPr>
              <w:sdtEndPr/>
              <w:sdtContent>
                <w:r w:rsidR="00A77908">
                  <w:rPr>
                    <w:b/>
                    <w:bCs/>
                    <w:noProof w:val="0"/>
                    <w:sz w:val="28"/>
                    <w:rtl/>
                  </w:rPr>
                  <w:t>ת"ז</w:t>
                </w:r>
                <w:r w:rsidR="00DA5B84">
                  <w:rPr>
                    <w:rFonts w:hint="cs"/>
                    <w:b/>
                    <w:bCs/>
                    <w:noProof w:val="0"/>
                    <w:sz w:val="28"/>
                  </w:rPr>
                  <w:t xml:space="preserve"> </w:t>
                </w:r>
                <w:r w:rsidR="00DA5B84">
                  <w:rPr>
                    <w:rFonts w:hint="cs"/>
                    <w:b/>
                    <w:bCs/>
                    <w:noProof w:val="0"/>
                    <w:sz w:val="28"/>
                    <w:rtl/>
                  </w:rPr>
                  <w:t xml:space="preserve"> </w:t>
                </w:r>
                <w:r w:rsidR="00DA5B84">
                  <w:rPr>
                    <w:rFonts w:hint="cs"/>
                    <w:b/>
                    <w:bCs/>
                    <w:noProof w:val="0"/>
                    <w:sz w:val="28"/>
                  </w:rPr>
                  <w:t>XXX</w:t>
                </w:r>
              </w:sdtContent>
            </w:sdt>
          </w:p>
        </w:tc>
      </w:tr>
      <w:tr w:rsidR="00A77908" w:rsidTr="00A77908">
        <w:trPr>
          <w:jc w:val="center"/>
        </w:trPr>
        <w:tc>
          <w:tcPr>
            <w:tcW w:w="8820" w:type="dxa"/>
            <w:gridSpan w:val="3"/>
          </w:tcPr>
          <w:p w:rsidR="00A77908" w:rsidRDefault="00A77908">
            <w:pPr>
              <w:rPr>
                <w:rFonts w:ascii="Arial (W1)" w:hAnsi="Arial (W1)"/>
                <w:b/>
                <w:bCs/>
                <w:noProof w:val="0"/>
                <w:sz w:val="28"/>
                <w:szCs w:val="28"/>
              </w:rPr>
            </w:pPr>
          </w:p>
          <w:p w:rsidR="00A77908" w:rsidRDefault="00A77908">
            <w:pPr>
              <w:jc w:val="center"/>
              <w:rPr>
                <w:b/>
                <w:bCs/>
                <w:noProof w:val="0"/>
                <w:sz w:val="28"/>
                <w:rtl/>
              </w:rPr>
            </w:pPr>
            <w:r>
              <w:rPr>
                <w:b/>
                <w:bCs/>
                <w:noProof w:val="0"/>
                <w:sz w:val="28"/>
                <w:rtl/>
              </w:rPr>
              <w:t>נגד</w:t>
            </w:r>
          </w:p>
          <w:p w:rsidR="00A77908" w:rsidRDefault="00A77908">
            <w:pPr>
              <w:rPr>
                <w:rFonts w:ascii="Arial (W1)" w:hAnsi="Arial (W1)"/>
                <w:b/>
                <w:bCs/>
                <w:noProof w:val="0"/>
                <w:sz w:val="28"/>
                <w:szCs w:val="28"/>
                <w:rtl/>
              </w:rPr>
            </w:pPr>
          </w:p>
        </w:tc>
      </w:tr>
      <w:tr w:rsidR="00A77908" w:rsidTr="00A77908">
        <w:trPr>
          <w:jc w:val="center"/>
        </w:trPr>
        <w:tc>
          <w:tcPr>
            <w:tcW w:w="3249" w:type="dxa"/>
            <w:gridSpan w:val="2"/>
          </w:tcPr>
          <w:p w:rsidR="00A77908" w:rsidRDefault="00A77908">
            <w:pPr>
              <w:rPr>
                <w:rFonts w:ascii="Arial (W1)" w:hAnsi="Arial (W1)"/>
                <w:b/>
                <w:bCs/>
                <w:noProof w:val="0"/>
                <w:sz w:val="28"/>
                <w:szCs w:val="28"/>
              </w:rPr>
            </w:pPr>
          </w:p>
          <w:p w:rsidR="00A77908" w:rsidRDefault="001C5354">
            <w:pPr>
              <w:rPr>
                <w:rFonts w:ascii="Arial (W1)" w:hAnsi="Arial (W1)"/>
                <w:b/>
                <w:bCs/>
                <w:noProof w:val="0"/>
                <w:sz w:val="28"/>
                <w:szCs w:val="28"/>
                <w:rtl/>
              </w:rPr>
            </w:pPr>
            <w:sdt>
              <w:sdtPr>
                <w:rPr>
                  <w:rtl/>
                </w:rPr>
                <w:alias w:val="1184"/>
                <w:tag w:val="1184"/>
                <w:id w:val="-910234160"/>
                <w:text w:multiLine="1"/>
              </w:sdtPr>
              <w:sdtEndPr/>
              <w:sdtContent>
                <w:r w:rsidR="00A77908">
                  <w:rPr>
                    <w:b/>
                    <w:bCs/>
                    <w:noProof w:val="0"/>
                    <w:sz w:val="28"/>
                    <w:rtl/>
                  </w:rPr>
                  <w:t>נתבעת</w:t>
                </w:r>
              </w:sdtContent>
            </w:sdt>
          </w:p>
        </w:tc>
        <w:tc>
          <w:tcPr>
            <w:tcW w:w="5571" w:type="dxa"/>
          </w:tcPr>
          <w:p w:rsidR="00A77908" w:rsidRDefault="00A77908">
            <w:pPr>
              <w:rPr>
                <w:rFonts w:ascii="Arial (W1)" w:hAnsi="Arial (W1)"/>
                <w:b/>
                <w:bCs/>
                <w:noProof w:val="0"/>
                <w:sz w:val="28"/>
                <w:szCs w:val="28"/>
              </w:rPr>
            </w:pPr>
          </w:p>
          <w:p w:rsidR="00A77908" w:rsidRDefault="001C5354" w:rsidP="00DA5B84">
            <w:pPr>
              <w:rPr>
                <w:rFonts w:ascii="Arial (W1)" w:hAnsi="Arial (W1)"/>
                <w:b/>
                <w:bCs/>
                <w:noProof w:val="0"/>
                <w:sz w:val="28"/>
                <w:szCs w:val="28"/>
                <w:rtl/>
              </w:rPr>
            </w:pPr>
            <w:sdt>
              <w:sdtPr>
                <w:rPr>
                  <w:b/>
                  <w:bCs/>
                  <w:noProof w:val="0"/>
                  <w:sz w:val="28"/>
                  <w:rtl/>
                </w:rPr>
                <w:alias w:val="1486"/>
                <w:tag w:val="1486"/>
                <w:id w:val="1487590763"/>
                <w:text w:multiLine="1"/>
              </w:sdtPr>
              <w:sdtEndPr/>
              <w:sdtContent>
                <w:r w:rsidR="00DA5B84">
                  <w:rPr>
                    <w:b/>
                    <w:bCs/>
                    <w:noProof w:val="0"/>
                    <w:sz w:val="28"/>
                    <w:rtl/>
                  </w:rPr>
                  <w:t>ע</w:t>
                </w:r>
                <w:r w:rsidR="00DA5B84">
                  <w:rPr>
                    <w:rFonts w:hint="cs"/>
                    <w:b/>
                    <w:bCs/>
                    <w:noProof w:val="0"/>
                    <w:sz w:val="28"/>
                    <w:rtl/>
                  </w:rPr>
                  <w:t>.ג.</w:t>
                </w:r>
              </w:sdtContent>
            </w:sdt>
            <w:r w:rsidR="00A77908">
              <w:rPr>
                <w:b/>
                <w:bCs/>
                <w:noProof w:val="0"/>
                <w:sz w:val="28"/>
                <w:rtl/>
              </w:rPr>
              <w:t xml:space="preserve"> </w:t>
            </w:r>
            <w:sdt>
              <w:sdtPr>
                <w:rPr>
                  <w:b/>
                  <w:bCs/>
                  <w:noProof w:val="0"/>
                  <w:sz w:val="28"/>
                  <w:rtl/>
                </w:rPr>
                <w:alias w:val="2317"/>
                <w:tag w:val="2317"/>
                <w:id w:val="1321767079"/>
                <w:placeholder>
                  <w:docPart w:val="0A108A7BB88348549606808766B7EB77"/>
                </w:placeholder>
                <w:text w:multiLine="1"/>
              </w:sdtPr>
              <w:sdtEndPr/>
              <w:sdtContent>
                <w:r w:rsidR="00A77908">
                  <w:rPr>
                    <w:b/>
                    <w:bCs/>
                    <w:noProof w:val="0"/>
                    <w:sz w:val="28"/>
                    <w:rtl/>
                  </w:rPr>
                  <w:t>ת"ז</w:t>
                </w:r>
              </w:sdtContent>
            </w:sdt>
            <w:r w:rsidR="00A77908">
              <w:rPr>
                <w:b/>
                <w:bCs/>
                <w:noProof w:val="0"/>
                <w:sz w:val="28"/>
                <w:rtl/>
              </w:rPr>
              <w:t xml:space="preserve"> </w:t>
            </w:r>
            <w:r w:rsidR="00DA5B84">
              <w:rPr>
                <w:rFonts w:hint="cs"/>
                <w:b/>
                <w:bCs/>
                <w:noProof w:val="0"/>
                <w:sz w:val="28"/>
              </w:rPr>
              <w:t>XXX</w:t>
            </w:r>
          </w:p>
        </w:tc>
      </w:tr>
    </w:tbl>
    <w:p w:rsidR="00A77908" w:rsidRDefault="00A77908" w:rsidP="00A77908">
      <w:pPr>
        <w:suppressLineNumbers/>
        <w:rPr>
          <w:rFonts w:ascii="Arial (W1)" w:hAnsi="Arial (W1)"/>
          <w:sz w:val="28"/>
          <w:szCs w:val="28"/>
        </w:rPr>
      </w:pPr>
    </w:p>
    <w:p w:rsidR="00A77908" w:rsidRDefault="00A77908" w:rsidP="00A77908">
      <w:pPr>
        <w:suppressLineNumbers/>
        <w:rPr>
          <w:rtl/>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A77908" w:rsidTr="00A77908">
        <w:trPr>
          <w:jc w:val="center"/>
        </w:trPr>
        <w:tc>
          <w:tcPr>
            <w:tcW w:w="8820" w:type="dxa"/>
            <w:hideMark/>
          </w:tcPr>
          <w:p w:rsidR="00A77908" w:rsidRDefault="00A77908">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A77908" w:rsidRDefault="00A77908" w:rsidP="00A77908">
      <w:pPr>
        <w:spacing w:line="360" w:lineRule="auto"/>
        <w:jc w:val="both"/>
        <w:rPr>
          <w:rFonts w:ascii="Arial" w:hAnsi="Arial"/>
          <w:noProof w:val="0"/>
        </w:rPr>
      </w:pPr>
    </w:p>
    <w:p w:rsidR="00A77908" w:rsidRDefault="00A77908" w:rsidP="00A77908">
      <w:pPr>
        <w:pStyle w:val="ac"/>
        <w:numPr>
          <w:ilvl w:val="0"/>
          <w:numId w:val="6"/>
        </w:numPr>
        <w:spacing w:line="360" w:lineRule="auto"/>
        <w:jc w:val="both"/>
        <w:rPr>
          <w:rFonts w:ascii="Arial" w:hAnsi="Arial"/>
          <w:noProof w:val="0"/>
          <w:rtl/>
        </w:rPr>
      </w:pPr>
      <w:r>
        <w:rPr>
          <w:rFonts w:ascii="Arial" w:hAnsi="Arial"/>
          <w:noProof w:val="0"/>
          <w:rtl/>
        </w:rPr>
        <w:t>התביעה שלפני נוסחה כתביעה של</w:t>
      </w:r>
      <w:r w:rsidR="00FD64F7">
        <w:rPr>
          <w:rFonts w:ascii="Arial" w:hAnsi="Arial"/>
          <w:noProof w:val="0"/>
          <w:rtl/>
        </w:rPr>
        <w:t xml:space="preserve"> שניים מיורשי המנוחה ש</w:t>
      </w:r>
      <w:r w:rsidR="00FD64F7">
        <w:rPr>
          <w:rFonts w:ascii="Arial" w:hAnsi="Arial" w:hint="cs"/>
          <w:noProof w:val="0"/>
          <w:rtl/>
        </w:rPr>
        <w:t xml:space="preserve">.א. </w:t>
      </w:r>
      <w:r>
        <w:rPr>
          <w:rFonts w:ascii="Arial" w:hAnsi="Arial"/>
          <w:noProof w:val="0"/>
          <w:rtl/>
        </w:rPr>
        <w:t>ז"ל להשבת חלקם כיורשים בכספים שלפי הנטען ניטלו על ידי הנתבעת שלא כדין עוד בחייה של המנוחה.</w:t>
      </w:r>
    </w:p>
    <w:p w:rsidR="00A77908" w:rsidRDefault="00A77908" w:rsidP="00A77908">
      <w:pPr>
        <w:spacing w:line="360" w:lineRule="auto"/>
        <w:jc w:val="both"/>
        <w:rPr>
          <w:rFonts w:ascii="Arial" w:hAnsi="Arial"/>
          <w:noProof w:val="0"/>
        </w:rPr>
      </w:pPr>
    </w:p>
    <w:p w:rsidR="00A77908" w:rsidRDefault="00A77908" w:rsidP="00A77908">
      <w:pPr>
        <w:pStyle w:val="ac"/>
        <w:numPr>
          <w:ilvl w:val="0"/>
          <w:numId w:val="6"/>
        </w:numPr>
        <w:spacing w:line="360" w:lineRule="auto"/>
        <w:jc w:val="both"/>
        <w:rPr>
          <w:rFonts w:ascii="Arial" w:hAnsi="Arial"/>
          <w:noProof w:val="0"/>
          <w:rtl/>
        </w:rPr>
      </w:pPr>
      <w:r>
        <w:rPr>
          <w:rFonts w:ascii="Arial" w:hAnsi="Arial"/>
          <w:noProof w:val="0"/>
          <w:rtl/>
        </w:rPr>
        <w:t xml:space="preserve">התביעה הוגשה בעקבות ניהול הליכים אחרים בעניין עזבונה של המנוחה, בקשר עם משק שבעלי הזכויות בו היו המנוחה ובעלה המנוח (תמ"ש 13030-07-18 ותמ"ש 14042-05-18). באותם ההליכים נשמעו ראיות וביום 26.6.23 גם ניתן פסק דין אשר הבהיר את גורלו של אותו המשק והזכויות בו. </w:t>
      </w:r>
    </w:p>
    <w:p w:rsidR="00A77908" w:rsidRDefault="00A77908" w:rsidP="00A77908">
      <w:pPr>
        <w:spacing w:line="360" w:lineRule="auto"/>
        <w:jc w:val="both"/>
        <w:rPr>
          <w:rFonts w:ascii="Arial" w:hAnsi="Arial"/>
          <w:noProof w:val="0"/>
          <w:rtl/>
        </w:rPr>
      </w:pPr>
    </w:p>
    <w:p w:rsidR="00A77908" w:rsidRDefault="00A77908" w:rsidP="00A77908">
      <w:pPr>
        <w:pStyle w:val="ac"/>
        <w:numPr>
          <w:ilvl w:val="0"/>
          <w:numId w:val="6"/>
        </w:numPr>
        <w:spacing w:line="360" w:lineRule="auto"/>
        <w:jc w:val="both"/>
        <w:rPr>
          <w:rFonts w:ascii="Arial" w:hAnsi="Arial"/>
          <w:noProof w:val="0"/>
          <w:rtl/>
        </w:rPr>
      </w:pPr>
      <w:r>
        <w:rPr>
          <w:rFonts w:ascii="Arial" w:hAnsi="Arial"/>
          <w:noProof w:val="0"/>
          <w:rtl/>
        </w:rPr>
        <w:t xml:space="preserve">בקדם המשפט ביום 10.5.23 העלה בית המשפט סימני שאלה בכל הנוגע לעילת התביעה, אשר פורטו בין היתר בהחלטה שניתנה עם תום אותו ההליך. בין היתר הובהר כי מסתבר שהכספים שהשבתם התבקשה מתייחסים לחשבון משותף לשני ההורים המנוחים כמו גם לנתבעת  ולא רק למנוחה בלבד, באופן אשר מעלה סימני שאלה לייחוס האישי דווקא כלפי המנוחה. הובהר גם כי כתב התביעה כלל לא פירט מה מתוך הכספים הם למעשה כספי הנתבעת.  אף עלה סימן שאלה מדוע הוגשה התובענה אך ורק ביחס לעזבון המנוחה בלבד ; מדוע לא צורפו יורשיו של המנוח אף הוא ; ומכח מה ניתן היה בכלל לנהל תובענה בקשר עם שני עזבונות בהליך אחד. חשוב מכך – עלתה השאלה מדוע הוגשה התביעה כתביעה כספית במסגרת עתרו התובעים עצמם לסעד כספי, בטרם הובהר והוסדר כי ככל שהיו לאיזה מהעזבונות הרלוונטיים חובות לנושים – הוסדר התשלום לנושים. </w:t>
      </w:r>
    </w:p>
    <w:p w:rsidR="00A77908" w:rsidRDefault="00A77908" w:rsidP="00A77908">
      <w:pPr>
        <w:spacing w:line="360" w:lineRule="auto"/>
        <w:jc w:val="both"/>
        <w:rPr>
          <w:rFonts w:ascii="Arial" w:hAnsi="Arial"/>
          <w:noProof w:val="0"/>
          <w:rtl/>
        </w:rPr>
      </w:pPr>
    </w:p>
    <w:p w:rsidR="00A77908" w:rsidRDefault="00A77908" w:rsidP="00A77908">
      <w:pPr>
        <w:pStyle w:val="ac"/>
        <w:spacing w:line="360" w:lineRule="auto"/>
        <w:jc w:val="both"/>
        <w:rPr>
          <w:rFonts w:ascii="Arial" w:hAnsi="Arial"/>
          <w:noProof w:val="0"/>
          <w:rtl/>
        </w:rPr>
      </w:pPr>
      <w:r>
        <w:rPr>
          <w:rFonts w:ascii="Arial" w:hAnsi="Arial"/>
          <w:noProof w:val="0"/>
          <w:rtl/>
        </w:rPr>
        <w:t xml:space="preserve">לכל אלה הצטרפה שאלת תוחלת ניהולם של ההליכים, בשים לב לסעד הכספי המצומצם שנתבע, גם בראי האינטרס הציבורי שבניהול הליכים לשיעורין ובמקוטע. לפיכך ניתנה </w:t>
      </w:r>
      <w:r>
        <w:rPr>
          <w:rFonts w:ascii="Arial" w:hAnsi="Arial"/>
          <w:noProof w:val="0"/>
          <w:rtl/>
        </w:rPr>
        <w:lastRenderedPageBreak/>
        <w:t xml:space="preserve">הוראה מותנית בדבר מחיקתה של התובענה, ככל שלא יגישו התובעים בקשה אופרטיבית אחרת. </w:t>
      </w:r>
    </w:p>
    <w:p w:rsidR="00A77908" w:rsidRDefault="00A77908" w:rsidP="00A77908">
      <w:pPr>
        <w:spacing w:line="360" w:lineRule="auto"/>
        <w:jc w:val="both"/>
        <w:rPr>
          <w:rFonts w:ascii="Arial" w:hAnsi="Arial"/>
          <w:noProof w:val="0"/>
          <w:rtl/>
        </w:rPr>
      </w:pPr>
    </w:p>
    <w:p w:rsidR="00A77908" w:rsidRDefault="00A77908" w:rsidP="00A77908">
      <w:pPr>
        <w:pStyle w:val="ac"/>
        <w:numPr>
          <w:ilvl w:val="0"/>
          <w:numId w:val="6"/>
        </w:numPr>
        <w:spacing w:line="360" w:lineRule="auto"/>
        <w:jc w:val="both"/>
        <w:rPr>
          <w:rFonts w:ascii="Arial" w:hAnsi="Arial"/>
          <w:noProof w:val="0"/>
          <w:rtl/>
        </w:rPr>
      </w:pPr>
      <w:r>
        <w:rPr>
          <w:rFonts w:ascii="Arial" w:hAnsi="Arial"/>
          <w:noProof w:val="0"/>
          <w:rtl/>
        </w:rPr>
        <w:t xml:space="preserve">התובעים עמדו על ניהול ההליך. בבקשתם התייחסו בעיקר לסוגיות עובדתיות בהן עדויות שנשמעו בהליכים הקשורים, המגלים לשיטתם את זכאותם לסעד כספי וטענו כי על פי הדין הם זכאים לקבל את חלקם בעזבון המנוחה. התובעים טענו כי אינם יודעים מה קיבלו יורשים אחרים, וכי חובות עזבונות ההורים המנוחים (שיורשיהם לשיטתם הם אותם היורשים), הם חובות מינוריים. לדבריהם, יש לקבוע מהו הסכום שמגיע לכל אחד מהיורשים מהעזבון, וכי שאלות מתחום תוחלת ניהול ההליך אינן צריכות להישאל במסגרת תביעה להשבת עיזבון. לחילופין, ביקשו התובעים להעביר את ניהול ההליך להליכי גישור. </w:t>
      </w:r>
    </w:p>
    <w:p w:rsidR="00A77908" w:rsidRDefault="00A77908" w:rsidP="00A77908">
      <w:pPr>
        <w:spacing w:line="360" w:lineRule="auto"/>
        <w:jc w:val="both"/>
        <w:rPr>
          <w:rFonts w:ascii="Arial" w:hAnsi="Arial"/>
          <w:noProof w:val="0"/>
          <w:rtl/>
        </w:rPr>
      </w:pPr>
    </w:p>
    <w:p w:rsidR="00A77908" w:rsidRDefault="00A77908" w:rsidP="00A77908">
      <w:pPr>
        <w:pStyle w:val="ac"/>
        <w:numPr>
          <w:ilvl w:val="0"/>
          <w:numId w:val="6"/>
        </w:numPr>
        <w:spacing w:line="360" w:lineRule="auto"/>
        <w:jc w:val="both"/>
        <w:rPr>
          <w:rFonts w:ascii="Arial" w:hAnsi="Arial"/>
          <w:noProof w:val="0"/>
          <w:rtl/>
        </w:rPr>
      </w:pPr>
      <w:r>
        <w:rPr>
          <w:rFonts w:ascii="Arial" w:hAnsi="Arial"/>
          <w:noProof w:val="0"/>
          <w:rtl/>
        </w:rPr>
        <w:t>לאחר ששקלתי בדבר, שמעתי את הצדדים ועיינתי במכלול הקשור, הגעתי לכלל מסקנה כי דין התביעה כפי שהוגשה להימחק.</w:t>
      </w:r>
    </w:p>
    <w:p w:rsidR="00A77908" w:rsidRDefault="00A77908" w:rsidP="00A77908">
      <w:pPr>
        <w:spacing w:line="360" w:lineRule="auto"/>
        <w:jc w:val="both"/>
        <w:rPr>
          <w:rFonts w:ascii="Arial" w:hAnsi="Arial"/>
          <w:noProof w:val="0"/>
          <w:rtl/>
        </w:rPr>
      </w:pPr>
    </w:p>
    <w:p w:rsidR="00A77908" w:rsidRDefault="00A77908" w:rsidP="00A77908">
      <w:pPr>
        <w:pStyle w:val="ac"/>
        <w:numPr>
          <w:ilvl w:val="0"/>
          <w:numId w:val="6"/>
        </w:numPr>
        <w:spacing w:line="360" w:lineRule="auto"/>
        <w:jc w:val="both"/>
        <w:rPr>
          <w:rFonts w:ascii="Arial" w:hAnsi="Arial"/>
          <w:noProof w:val="0"/>
          <w:rtl/>
        </w:rPr>
      </w:pPr>
      <w:r>
        <w:rPr>
          <w:rFonts w:ascii="Arial" w:hAnsi="Arial"/>
          <w:noProof w:val="0"/>
          <w:rtl/>
        </w:rPr>
        <w:t>טענת התובעים למעשה היא טענת נשייה של עזבון המנוחה כנגד הנתבעת. אלא שטענה שכזו צריכה בראש ובראשונה להיבחן במסגרת הליכים לניהול עזבון ולא במסגרת תביעה כספית עצמאית של חלק מן היורשים. זאת ממגוון נימוקים.</w:t>
      </w:r>
    </w:p>
    <w:p w:rsidR="00A77908" w:rsidRDefault="00A77908" w:rsidP="00A77908">
      <w:pPr>
        <w:spacing w:line="360" w:lineRule="auto"/>
        <w:jc w:val="both"/>
        <w:rPr>
          <w:rFonts w:ascii="Arial" w:hAnsi="Arial"/>
          <w:noProof w:val="0"/>
          <w:rtl/>
        </w:rPr>
      </w:pPr>
    </w:p>
    <w:p w:rsidR="00A77908" w:rsidRDefault="00A77908" w:rsidP="00A77908">
      <w:pPr>
        <w:pStyle w:val="ac"/>
        <w:numPr>
          <w:ilvl w:val="0"/>
          <w:numId w:val="6"/>
        </w:numPr>
        <w:spacing w:line="360" w:lineRule="auto"/>
        <w:jc w:val="both"/>
        <w:rPr>
          <w:rFonts w:ascii="Arial" w:hAnsi="Arial"/>
          <w:noProof w:val="0"/>
          <w:rtl/>
        </w:rPr>
      </w:pPr>
      <w:r>
        <w:rPr>
          <w:rFonts w:ascii="Arial" w:hAnsi="Arial"/>
          <w:noProof w:val="0"/>
          <w:rtl/>
        </w:rPr>
        <w:t xml:space="preserve">בראש ובראשונה, מקום בו עסקינן בטענה השואבת בטבורה מניהולו של עיזבון. עזבון יש לנהל בדרכים שקבע לכך הדין. </w:t>
      </w:r>
      <w:r>
        <w:rPr>
          <w:rFonts w:ascii="Arial" w:hAnsi="Arial"/>
          <w:b/>
          <w:bCs/>
          <w:noProof w:val="0"/>
          <w:rtl/>
        </w:rPr>
        <w:t>הפרק השישי לחוק הירושה, התשכ"ה – 1965</w:t>
      </w:r>
      <w:r>
        <w:rPr>
          <w:rFonts w:ascii="Arial" w:hAnsi="Arial"/>
          <w:noProof w:val="0"/>
          <w:rtl/>
        </w:rPr>
        <w:t xml:space="preserve"> (להלן: "</w:t>
      </w:r>
      <w:r>
        <w:rPr>
          <w:rFonts w:ascii="Arial" w:hAnsi="Arial"/>
          <w:b/>
          <w:bCs/>
          <w:noProof w:val="0"/>
          <w:rtl/>
        </w:rPr>
        <w:t>חוק הירושה</w:t>
      </w:r>
      <w:r>
        <w:rPr>
          <w:rFonts w:ascii="Arial" w:hAnsi="Arial"/>
          <w:noProof w:val="0"/>
          <w:rtl/>
        </w:rPr>
        <w:t xml:space="preserve">") קובע מסגרת ברורה וסדורה ביחס לשאלה כיצד ינוהל ויחולק עזבונו של מוריש. </w:t>
      </w:r>
    </w:p>
    <w:p w:rsidR="00A77908" w:rsidRDefault="00A77908" w:rsidP="00A77908">
      <w:pPr>
        <w:spacing w:line="360" w:lineRule="auto"/>
        <w:jc w:val="both"/>
        <w:rPr>
          <w:rFonts w:ascii="Arial" w:hAnsi="Arial"/>
          <w:noProof w:val="0"/>
          <w:rtl/>
        </w:rPr>
      </w:pPr>
    </w:p>
    <w:p w:rsidR="00A77908" w:rsidRDefault="00A77908" w:rsidP="00A77908">
      <w:pPr>
        <w:pStyle w:val="ac"/>
        <w:spacing w:line="360" w:lineRule="auto"/>
        <w:jc w:val="both"/>
        <w:rPr>
          <w:rFonts w:ascii="Arial" w:hAnsi="Arial"/>
          <w:noProof w:val="0"/>
          <w:rtl/>
        </w:rPr>
      </w:pPr>
      <w:r>
        <w:rPr>
          <w:rFonts w:ascii="Arial" w:hAnsi="Arial"/>
          <w:noProof w:val="0"/>
          <w:rtl/>
        </w:rPr>
        <w:t xml:space="preserve">בין אם עזבון מנוהל באמצעות מנהל עזבון (סימן ב' – ד' לפרק השישי לחוק הירושה) ובין אם מנוהל על ידי היורשים עצמם, </w:t>
      </w:r>
      <w:r>
        <w:rPr>
          <w:rFonts w:ascii="Arial" w:hAnsi="Arial"/>
          <w:b/>
          <w:bCs/>
          <w:noProof w:val="0"/>
          <w:rtl/>
        </w:rPr>
        <w:t>תנאי מרכזי לחלוקת נכסי העזבון ליורשים הוא סילוק חובותיו של העזבון</w:t>
      </w:r>
      <w:r>
        <w:rPr>
          <w:rFonts w:ascii="Arial" w:hAnsi="Arial"/>
          <w:noProof w:val="0"/>
          <w:rtl/>
        </w:rPr>
        <w:t xml:space="preserve"> (השוו: סעיפים 99, 100, 107, 124-125 לחוק הירושה).</w:t>
      </w:r>
    </w:p>
    <w:p w:rsidR="00A77908" w:rsidRDefault="00A77908" w:rsidP="00A77908">
      <w:pPr>
        <w:spacing w:line="360" w:lineRule="auto"/>
        <w:jc w:val="both"/>
        <w:rPr>
          <w:rFonts w:ascii="Arial" w:hAnsi="Arial"/>
          <w:noProof w:val="0"/>
          <w:rtl/>
        </w:rPr>
      </w:pPr>
    </w:p>
    <w:p w:rsidR="00A77908" w:rsidRDefault="00A77908" w:rsidP="00A77908">
      <w:pPr>
        <w:spacing w:line="360" w:lineRule="auto"/>
        <w:jc w:val="both"/>
        <w:rPr>
          <w:rFonts w:ascii="Arial" w:hAnsi="Arial"/>
          <w:noProof w:val="0"/>
          <w:rtl/>
        </w:rPr>
      </w:pPr>
    </w:p>
    <w:p w:rsidR="00A77908" w:rsidRDefault="00A77908" w:rsidP="00A77908">
      <w:pPr>
        <w:pStyle w:val="ac"/>
        <w:numPr>
          <w:ilvl w:val="0"/>
          <w:numId w:val="6"/>
        </w:numPr>
        <w:spacing w:line="360" w:lineRule="auto"/>
        <w:jc w:val="both"/>
        <w:rPr>
          <w:rFonts w:ascii="Arial" w:hAnsi="Arial"/>
          <w:noProof w:val="0"/>
          <w:rtl/>
        </w:rPr>
      </w:pPr>
      <w:r>
        <w:rPr>
          <w:rFonts w:ascii="Arial" w:hAnsi="Arial"/>
          <w:noProof w:val="0"/>
          <w:rtl/>
        </w:rPr>
        <w:t xml:space="preserve">במקרה שלפנינו, למעשה דומה שאין חולק כי לעזבון המנוחה חובות, כעולה גם מבקשתם האחרונה של התובעים. אלא שעד כה כפי הנראה חובות אלה לא סולקו. </w:t>
      </w:r>
      <w:r>
        <w:rPr>
          <w:rFonts w:ascii="Arial" w:hAnsi="Arial"/>
          <w:b/>
          <w:bCs/>
          <w:noProof w:val="0"/>
          <w:rtl/>
        </w:rPr>
        <w:t>חרף העלאת הסוגיה על ידי בית המשפט כלל לא  הבהירו התובעים האם מולאו הוראות חוק הירושה ; האם פורסמו הזמנות לנושים</w:t>
      </w:r>
      <w:r>
        <w:rPr>
          <w:rFonts w:ascii="Arial" w:hAnsi="Arial"/>
          <w:noProof w:val="0"/>
          <w:rtl/>
        </w:rPr>
        <w:t xml:space="preserve"> (סעיפים 123 או 99 לחוק הירושה לפי העניין) </w:t>
      </w:r>
      <w:r>
        <w:rPr>
          <w:rFonts w:ascii="Arial" w:hAnsi="Arial"/>
          <w:b/>
          <w:bCs/>
          <w:noProof w:val="0"/>
          <w:rtl/>
        </w:rPr>
        <w:t>;  וממילא ברור כי חובות העזבון לא סולקו</w:t>
      </w:r>
      <w:r>
        <w:rPr>
          <w:rFonts w:ascii="Arial" w:hAnsi="Arial"/>
          <w:noProof w:val="0"/>
          <w:rtl/>
        </w:rPr>
        <w:t xml:space="preserve">. </w:t>
      </w:r>
    </w:p>
    <w:p w:rsidR="00A77908" w:rsidRDefault="00A77908" w:rsidP="00A77908">
      <w:pPr>
        <w:pStyle w:val="ac"/>
        <w:spacing w:line="360" w:lineRule="auto"/>
        <w:jc w:val="both"/>
        <w:rPr>
          <w:rFonts w:ascii="Arial" w:hAnsi="Arial"/>
          <w:noProof w:val="0"/>
          <w:rtl/>
        </w:rPr>
      </w:pPr>
    </w:p>
    <w:p w:rsidR="00A77908" w:rsidRDefault="00A77908" w:rsidP="00A77908">
      <w:pPr>
        <w:pStyle w:val="ac"/>
        <w:spacing w:line="360" w:lineRule="auto"/>
        <w:jc w:val="both"/>
        <w:rPr>
          <w:rFonts w:ascii="Arial" w:hAnsi="Arial"/>
          <w:noProof w:val="0"/>
        </w:rPr>
      </w:pPr>
      <w:r>
        <w:rPr>
          <w:rFonts w:ascii="Arial" w:hAnsi="Arial"/>
          <w:noProof w:val="0"/>
          <w:rtl/>
        </w:rPr>
        <w:lastRenderedPageBreak/>
        <w:t xml:space="preserve">יוצא, אפוא, שהלכה למעשה לא קמה עילה לחלוקת כספים כלשהם ליורשים. מכאן שתביעתם של התובעים, כחלק מיורשי עזבון המנוחה, מוקדמת היא ואיננה מגלה עילה כתביעה עצמאית. </w:t>
      </w:r>
    </w:p>
    <w:p w:rsidR="00A77908" w:rsidRDefault="00A77908" w:rsidP="00A77908">
      <w:pPr>
        <w:spacing w:line="360" w:lineRule="auto"/>
        <w:jc w:val="both"/>
        <w:rPr>
          <w:rFonts w:ascii="Arial" w:hAnsi="Arial"/>
          <w:noProof w:val="0"/>
          <w:rtl/>
        </w:rPr>
      </w:pPr>
    </w:p>
    <w:p w:rsidR="00A77908" w:rsidRDefault="00A77908" w:rsidP="00A77908">
      <w:pPr>
        <w:pStyle w:val="ac"/>
        <w:numPr>
          <w:ilvl w:val="0"/>
          <w:numId w:val="6"/>
        </w:numPr>
        <w:spacing w:line="360" w:lineRule="auto"/>
        <w:jc w:val="both"/>
        <w:rPr>
          <w:rFonts w:ascii="Arial" w:hAnsi="Arial"/>
          <w:noProof w:val="0"/>
          <w:rtl/>
        </w:rPr>
      </w:pPr>
      <w:r>
        <w:rPr>
          <w:rFonts w:ascii="Arial" w:hAnsi="Arial"/>
          <w:noProof w:val="0"/>
          <w:rtl/>
        </w:rPr>
        <w:t xml:space="preserve">בנוסף, גם לו תמצי לומר, כאחת מטענות התובעים, כי ניתן להסדיר את חובות העזבון ללא קשר לתביעתם הכספית, הרי שטענה זו איננה יכולה לעמוד ; זאת מקום בו כאמור לעיל, בבסיס התביעה טענה משתמעת לפיה לעזבון המנוחה ז"ל (ולא לתובעים במישרין) קמה עילת תביעה כספית כנגד הנתבעת ; שכן לטענת התובעים הנתבעת גזלה מן המנוחה בחייה כספים. </w:t>
      </w:r>
    </w:p>
    <w:p w:rsidR="00A77908" w:rsidRDefault="00A77908" w:rsidP="00A77908">
      <w:pPr>
        <w:pStyle w:val="ac"/>
        <w:spacing w:line="360" w:lineRule="auto"/>
        <w:jc w:val="both"/>
        <w:rPr>
          <w:rFonts w:ascii="Arial" w:hAnsi="Arial"/>
          <w:noProof w:val="0"/>
          <w:rtl/>
        </w:rPr>
      </w:pPr>
    </w:p>
    <w:p w:rsidR="00A77908" w:rsidRDefault="00A77908" w:rsidP="00A77908">
      <w:pPr>
        <w:pStyle w:val="ac"/>
        <w:numPr>
          <w:ilvl w:val="0"/>
          <w:numId w:val="6"/>
        </w:numPr>
        <w:spacing w:line="360" w:lineRule="auto"/>
        <w:jc w:val="both"/>
        <w:rPr>
          <w:rFonts w:ascii="Arial" w:hAnsi="Arial"/>
          <w:noProof w:val="0"/>
        </w:rPr>
      </w:pPr>
      <w:r>
        <w:rPr>
          <w:rFonts w:ascii="Arial" w:hAnsi="Arial"/>
          <w:noProof w:val="0"/>
          <w:rtl/>
        </w:rPr>
        <w:t xml:space="preserve">טענה זו היא טענה מובהקת הקשורה עם ניהול עזבון, </w:t>
      </w:r>
      <w:r>
        <w:rPr>
          <w:rFonts w:ascii="Arial" w:hAnsi="Arial"/>
          <w:noProof w:val="0"/>
          <w:u w:val="single"/>
          <w:rtl/>
        </w:rPr>
        <w:t>ואיננה בבחינת זכות תביעה עצמאית של איזה מיורשיו</w:t>
      </w:r>
      <w:r>
        <w:rPr>
          <w:rFonts w:ascii="Arial" w:hAnsi="Arial"/>
          <w:noProof w:val="0"/>
          <w:rtl/>
        </w:rPr>
        <w:t xml:space="preserve">.  שכן בראש ובראשונה הזכות הכספית היא זכות של המנוחה ז"ל, ולא של איזה מן היורשים. רק במידה שייקבע כי למנוחה ז"ל אמנם קמה זכות כספית כנגד מאן דהוא, יהא מקום להידרש לשאלה האם ובאיזו דרך יש לחלק את עזבון המנוחה, לרבות את הזכות הכספית ככל שקמה כנגד אותו אדם. ברור כי סוגיה זו יש לבחון באספקלריה של דיני ניהול עזבון וחלוקתו – לרבות בכל הנוגע לשאלה האם יש להתיר לעיזבון באמצעות מי שיורשה לכך, להגיש תביעה כספית שכזו – ולא באמצעות תביעה לזכות כספית עצמאית של יורש אחד כנגד אדם אחר (בין אם הוא יורש ובין אם לאו). </w:t>
      </w:r>
    </w:p>
    <w:p w:rsidR="00A77908" w:rsidRDefault="00A77908" w:rsidP="00A77908">
      <w:pPr>
        <w:spacing w:line="360" w:lineRule="auto"/>
        <w:jc w:val="both"/>
        <w:rPr>
          <w:rFonts w:ascii="Arial" w:hAnsi="Arial"/>
          <w:noProof w:val="0"/>
          <w:rtl/>
        </w:rPr>
      </w:pPr>
    </w:p>
    <w:p w:rsidR="00A77908" w:rsidRDefault="00A77908" w:rsidP="00A77908">
      <w:pPr>
        <w:pStyle w:val="ac"/>
        <w:numPr>
          <w:ilvl w:val="0"/>
          <w:numId w:val="6"/>
        </w:numPr>
        <w:spacing w:line="360" w:lineRule="auto"/>
        <w:jc w:val="both"/>
        <w:rPr>
          <w:rFonts w:ascii="Arial" w:hAnsi="Arial"/>
          <w:noProof w:val="0"/>
          <w:rtl/>
        </w:rPr>
      </w:pPr>
      <w:r>
        <w:rPr>
          <w:rFonts w:ascii="Arial" w:hAnsi="Arial"/>
          <w:noProof w:val="0"/>
          <w:rtl/>
        </w:rPr>
        <w:t>מכאן, שהתביעה כפי שנוסחה, איננה מגלה עילה עצמאית של התובעים ודינה סילוק על הסף.</w:t>
      </w:r>
    </w:p>
    <w:p w:rsidR="00A77908" w:rsidRDefault="00A77908" w:rsidP="00A77908">
      <w:pPr>
        <w:spacing w:line="360" w:lineRule="auto"/>
        <w:jc w:val="both"/>
        <w:rPr>
          <w:rFonts w:ascii="Arial" w:hAnsi="Arial"/>
          <w:noProof w:val="0"/>
          <w:rtl/>
        </w:rPr>
      </w:pPr>
    </w:p>
    <w:p w:rsidR="00A77908" w:rsidRDefault="00A77908" w:rsidP="00A77908">
      <w:pPr>
        <w:pStyle w:val="ac"/>
        <w:numPr>
          <w:ilvl w:val="0"/>
          <w:numId w:val="6"/>
        </w:numPr>
        <w:spacing w:line="360" w:lineRule="auto"/>
        <w:jc w:val="both"/>
        <w:rPr>
          <w:rFonts w:ascii="Arial" w:hAnsi="Arial"/>
          <w:noProof w:val="0"/>
          <w:rtl/>
        </w:rPr>
      </w:pPr>
      <w:r>
        <w:rPr>
          <w:rFonts w:ascii="Arial" w:hAnsi="Arial"/>
          <w:noProof w:val="0"/>
          <w:rtl/>
        </w:rPr>
        <w:t xml:space="preserve">בנוסף, ובניגוד לטענת התובעים, בוודאי שיש מקום להביא בחשבון גם את האינטרס הציבורי שבניהול הליך ספציפי לבחינתו של מקטע אחד בלבד בקשר עם עזבון המנוחה. שכן ממילא גם אם תתקבל טענתם העובדתית של התובעים, התובעים לא יוכלו למצות את עניינם בסעד הכספי שנתבע ; שכן כאמור, קביעה שפלוני חב כספים למנוח איננה מביאה אינהרנטית להוראה בדבר תשלום כספים אלה ליורש ספציפי, במנותק מניהולו וחלוקתו של העזבון בדרך שקבעה לכך הדין. </w:t>
      </w:r>
    </w:p>
    <w:p w:rsidR="00A77908" w:rsidRDefault="00A77908" w:rsidP="00A77908">
      <w:pPr>
        <w:pStyle w:val="ac"/>
        <w:rPr>
          <w:rFonts w:ascii="Arial" w:hAnsi="Arial"/>
          <w:noProof w:val="0"/>
          <w:rtl/>
        </w:rPr>
      </w:pPr>
    </w:p>
    <w:p w:rsidR="00A77908" w:rsidRDefault="00A77908" w:rsidP="00A77908">
      <w:pPr>
        <w:pStyle w:val="ac"/>
        <w:spacing w:line="360" w:lineRule="auto"/>
        <w:jc w:val="both"/>
        <w:rPr>
          <w:rFonts w:ascii="Arial" w:hAnsi="Arial"/>
          <w:noProof w:val="0"/>
        </w:rPr>
      </w:pPr>
      <w:r>
        <w:rPr>
          <w:rFonts w:ascii="Arial" w:hAnsi="Arial"/>
          <w:noProof w:val="0"/>
          <w:rtl/>
        </w:rPr>
        <w:t xml:space="preserve">ככל שיידרש בית המשפט להליך שכזה, אינהרנטית יוביל הדבר להקצאת משאבי ציבור מיותרים להליך הלא נכון, על חשבונם של מתדיינים אחרים, וממילא סיומו של ההליך לא יוביל לא לחלוקת עזבון המנוחה אף לא להגשמת האינטרס הכספי לו עתרו התובעים, כך או אחרת וגם אם ייקבע שהנתבעת חבה כספים לעזבון המנוחה דווקא (לעניין זה השוו למשל: תקנה 5 </w:t>
      </w:r>
      <w:r>
        <w:rPr>
          <w:rFonts w:ascii="Arial" w:hAnsi="Arial"/>
          <w:b/>
          <w:bCs/>
          <w:noProof w:val="0"/>
          <w:rtl/>
        </w:rPr>
        <w:t>לתקנות סדר הדין האזרחי, התשע"ט- 2018</w:t>
      </w:r>
      <w:r>
        <w:rPr>
          <w:rFonts w:ascii="Arial" w:hAnsi="Arial"/>
          <w:noProof w:val="0"/>
          <w:rtl/>
        </w:rPr>
        <w:t>).</w:t>
      </w:r>
    </w:p>
    <w:p w:rsidR="00A77908" w:rsidRDefault="00A77908" w:rsidP="00A77908">
      <w:pPr>
        <w:spacing w:line="360" w:lineRule="auto"/>
        <w:jc w:val="both"/>
        <w:rPr>
          <w:rFonts w:ascii="Arial" w:hAnsi="Arial"/>
          <w:noProof w:val="0"/>
          <w:rtl/>
        </w:rPr>
      </w:pPr>
    </w:p>
    <w:p w:rsidR="00A77908" w:rsidRDefault="00A77908" w:rsidP="00A77908">
      <w:pPr>
        <w:pStyle w:val="ac"/>
        <w:numPr>
          <w:ilvl w:val="0"/>
          <w:numId w:val="6"/>
        </w:numPr>
        <w:spacing w:line="360" w:lineRule="auto"/>
        <w:jc w:val="both"/>
        <w:rPr>
          <w:rFonts w:ascii="Arial" w:hAnsi="Arial"/>
          <w:noProof w:val="0"/>
          <w:rtl/>
        </w:rPr>
      </w:pPr>
      <w:r>
        <w:rPr>
          <w:rFonts w:ascii="Arial" w:hAnsi="Arial"/>
          <w:noProof w:val="0"/>
          <w:rtl/>
        </w:rPr>
        <w:lastRenderedPageBreak/>
        <w:t xml:space="preserve">גם לטענה המשתמעת לפיה מקום בו עסקינן בסוגיות שהעלה בית המשפט מיוזמתו אין לשעות להן, אין מקום. שכן בית המשפט הוא שאחראי ואמון על ניהולו של ההליך השיפוטי, וכפי שהובהר לעיל, אחריותו היא גם לנהל את משאבי השיפוט והמינהל השיפוטי באופן מידתי, תוך הבנה שגם מתדיינים אחרים ממתינים לתורם. </w:t>
      </w:r>
    </w:p>
    <w:p w:rsidR="00A77908" w:rsidRDefault="00A77908" w:rsidP="00A77908">
      <w:pPr>
        <w:spacing w:line="360" w:lineRule="auto"/>
        <w:jc w:val="both"/>
        <w:rPr>
          <w:rFonts w:ascii="Arial" w:hAnsi="Arial"/>
          <w:noProof w:val="0"/>
          <w:rtl/>
        </w:rPr>
      </w:pPr>
    </w:p>
    <w:p w:rsidR="00A77908" w:rsidRDefault="00A77908" w:rsidP="00A77908">
      <w:pPr>
        <w:pStyle w:val="ac"/>
        <w:numPr>
          <w:ilvl w:val="0"/>
          <w:numId w:val="6"/>
        </w:numPr>
        <w:spacing w:line="360" w:lineRule="auto"/>
        <w:jc w:val="both"/>
        <w:rPr>
          <w:rFonts w:ascii="Arial" w:hAnsi="Arial"/>
          <w:noProof w:val="0"/>
          <w:rtl/>
        </w:rPr>
      </w:pPr>
      <w:r>
        <w:rPr>
          <w:rFonts w:ascii="Arial" w:hAnsi="Arial"/>
          <w:noProof w:val="0"/>
          <w:rtl/>
        </w:rPr>
        <w:t>לא זו בלבד אלא שניתנה גם לתובעים בהחלטתי האחרונה שהות להגיש בקשה אופרטיבית ובמסגרת זאת גם שהות לבחון האם ברצונם לבקש לתקן את התובענה כך שחלף התובענה שהוגשה תנוהל תובענה למינוי מנהל עזבון ; זאת באופן שגם יוכל להביא לידי ביטוי את מכלול האינטרסים הקשורים עם עזבון המנוחה וגם את האינטרסים של התובעים עצמם כיורשים. אלא שהתובעים ביקשו להותיר התובענה כמות שהיא. לכך, מן הנימוקים שדלעיל, אין ניתן להסכים.</w:t>
      </w:r>
    </w:p>
    <w:p w:rsidR="00A77908" w:rsidRDefault="00A77908" w:rsidP="00A77908">
      <w:pPr>
        <w:spacing w:line="360" w:lineRule="auto"/>
        <w:jc w:val="both"/>
        <w:rPr>
          <w:rFonts w:ascii="Arial" w:hAnsi="Arial"/>
          <w:noProof w:val="0"/>
          <w:rtl/>
        </w:rPr>
      </w:pPr>
    </w:p>
    <w:p w:rsidR="00A77908" w:rsidRDefault="00A77908" w:rsidP="00A77908">
      <w:pPr>
        <w:pStyle w:val="ac"/>
        <w:numPr>
          <w:ilvl w:val="0"/>
          <w:numId w:val="6"/>
        </w:numPr>
        <w:spacing w:line="360" w:lineRule="auto"/>
        <w:jc w:val="both"/>
        <w:rPr>
          <w:rFonts w:ascii="Arial" w:hAnsi="Arial"/>
          <w:noProof w:val="0"/>
          <w:rtl/>
        </w:rPr>
      </w:pPr>
      <w:r>
        <w:rPr>
          <w:rFonts w:ascii="Arial" w:hAnsi="Arial"/>
          <w:noProof w:val="0"/>
          <w:rtl/>
        </w:rPr>
        <w:t>כפועל יוצא, דין התובענה מחיקה, וכך אני מורה.</w:t>
      </w:r>
    </w:p>
    <w:p w:rsidR="00A77908" w:rsidRDefault="00A77908" w:rsidP="00A77908">
      <w:pPr>
        <w:pStyle w:val="ac"/>
        <w:spacing w:line="360" w:lineRule="auto"/>
        <w:jc w:val="both"/>
        <w:rPr>
          <w:rFonts w:ascii="Arial" w:hAnsi="Arial"/>
          <w:noProof w:val="0"/>
          <w:rtl/>
        </w:rPr>
      </w:pPr>
      <w:r>
        <w:rPr>
          <w:rFonts w:ascii="Arial" w:hAnsi="Arial"/>
          <w:noProof w:val="0"/>
          <w:rtl/>
        </w:rPr>
        <w:t xml:space="preserve">אין בכך כאמור כדי למנוע מהתובעים לפעול כהבנתם, לרבות בדרך של הגשת תובענה למינוי מנהל לעזבון איזה מן המנוחים הקשורים עם החשבון נושא ההליך. </w:t>
      </w:r>
    </w:p>
    <w:p w:rsidR="00A77908" w:rsidRDefault="00A77908" w:rsidP="00A77908">
      <w:pPr>
        <w:pStyle w:val="ac"/>
        <w:spacing w:line="360" w:lineRule="auto"/>
        <w:jc w:val="both"/>
        <w:rPr>
          <w:rFonts w:ascii="Arial" w:hAnsi="Arial"/>
          <w:noProof w:val="0"/>
          <w:rtl/>
        </w:rPr>
      </w:pPr>
      <w:r>
        <w:rPr>
          <w:rFonts w:ascii="Arial" w:hAnsi="Arial"/>
          <w:noProof w:val="0"/>
          <w:rtl/>
        </w:rPr>
        <w:t>שעה שעסקינן בסוגיה שבית המשפט העלה, ולפנים משורת הדין, איני עושה צו להוצאות.</w:t>
      </w:r>
    </w:p>
    <w:p w:rsidR="00A77908" w:rsidRDefault="00A77908" w:rsidP="00A77908">
      <w:pPr>
        <w:pStyle w:val="ac"/>
        <w:spacing w:line="360" w:lineRule="auto"/>
        <w:jc w:val="both"/>
        <w:rPr>
          <w:rFonts w:ascii="Arial" w:hAnsi="Arial"/>
          <w:b/>
          <w:bCs/>
          <w:noProof w:val="0"/>
          <w:rtl/>
        </w:rPr>
      </w:pPr>
      <w:r>
        <w:rPr>
          <w:rFonts w:ascii="Arial" w:hAnsi="Arial"/>
          <w:b/>
          <w:bCs/>
          <w:noProof w:val="0"/>
          <w:u w:val="single"/>
          <w:rtl/>
        </w:rPr>
        <w:t>המזכירות תמציא פסק הדין לצדדים ותסגור את התיק</w:t>
      </w:r>
      <w:r>
        <w:rPr>
          <w:rFonts w:ascii="Arial" w:hAnsi="Arial"/>
          <w:b/>
          <w:bCs/>
          <w:noProof w:val="0"/>
          <w:rtl/>
        </w:rPr>
        <w:t xml:space="preserve">. </w:t>
      </w:r>
    </w:p>
    <w:p w:rsidR="00A77908" w:rsidRDefault="00A77908" w:rsidP="00A77908">
      <w:pPr>
        <w:spacing w:line="360" w:lineRule="auto"/>
        <w:jc w:val="both"/>
        <w:rPr>
          <w:rFonts w:ascii="Arial" w:hAnsi="Arial"/>
          <w:noProof w:val="0"/>
          <w:rtl/>
        </w:rPr>
      </w:pPr>
    </w:p>
    <w:p w:rsidR="00A77908" w:rsidRDefault="00A77908" w:rsidP="00A77908">
      <w:pPr>
        <w:spacing w:line="360" w:lineRule="auto"/>
        <w:jc w:val="both"/>
        <w:rPr>
          <w:rFonts w:ascii="Arial" w:hAnsi="Arial"/>
          <w:noProof w:val="0"/>
          <w:rtl/>
        </w:rPr>
      </w:pPr>
      <w:r>
        <w:rPr>
          <w:rFonts w:ascii="Arial" w:hAnsi="Arial"/>
          <w:noProof w:val="0"/>
          <w:rtl/>
        </w:rPr>
        <w:tab/>
        <w:t xml:space="preserve">פסק הדין מותר בפרסום בהשמטת מלוא פרטיהם המזהים של הצדדים ובני משפחותיהם.  </w:t>
      </w:r>
    </w:p>
    <w:p w:rsidR="00A77908" w:rsidRDefault="00A77908" w:rsidP="00A77908">
      <w:pPr>
        <w:spacing w:line="360" w:lineRule="auto"/>
        <w:jc w:val="both"/>
        <w:rPr>
          <w:rFonts w:ascii="Arial" w:hAnsi="Arial"/>
          <w:noProof w:val="0"/>
          <w:rtl/>
        </w:rPr>
      </w:pPr>
    </w:p>
    <w:p w:rsidR="00A77908" w:rsidRDefault="00A77908" w:rsidP="00A77908">
      <w:pPr>
        <w:bidi w:val="0"/>
        <w:spacing w:line="360" w:lineRule="auto"/>
        <w:ind w:firstLine="720"/>
        <w:jc w:val="both"/>
        <w:rPr>
          <w:rFonts w:ascii="Arial" w:hAnsi="Arial"/>
          <w:noProof w:val="0"/>
          <w:rtl/>
        </w:rPr>
      </w:pPr>
      <w:r>
        <w:rPr>
          <w:rFonts w:ascii="Arial" w:hAnsi="Arial"/>
          <w:noProof w:val="0"/>
          <w:rtl/>
        </w:rPr>
        <w:t xml:space="preserve">ניתן היום,  </w:t>
      </w:r>
      <w:sdt>
        <w:sdtPr>
          <w:alias w:val="1455"/>
          <w:tag w:val="1455"/>
          <w:id w:val="242217728"/>
          <w:text w:multiLine="1"/>
        </w:sdtPr>
        <w:sdtEndPr/>
        <w:sdtContent>
          <w:r>
            <w:rPr>
              <w:rFonts w:ascii="Arial" w:hAnsi="Arial"/>
              <w:noProof w:val="0"/>
              <w:rtl/>
            </w:rPr>
            <w:t>א' כסלו תשפ"ד</w:t>
          </w:r>
        </w:sdtContent>
      </w:sdt>
      <w:r>
        <w:rPr>
          <w:rFonts w:ascii="Arial" w:hAnsi="Arial"/>
          <w:noProof w:val="0"/>
          <w:rtl/>
        </w:rPr>
        <w:t xml:space="preserve">, </w:t>
      </w:r>
      <w:sdt>
        <w:sdtPr>
          <w:alias w:val="1456"/>
          <w:tag w:val="1456"/>
          <w:id w:val="-1101635932"/>
          <w:text w:multiLine="1"/>
        </w:sdtPr>
        <w:sdtEndPr/>
        <w:sdtContent>
          <w:r>
            <w:rPr>
              <w:rFonts w:ascii="Arial" w:hAnsi="Arial"/>
              <w:noProof w:val="0"/>
              <w:rtl/>
            </w:rPr>
            <w:t>14 נובמבר 2023</w:t>
          </w:r>
        </w:sdtContent>
      </w:sdt>
      <w:r>
        <w:rPr>
          <w:rFonts w:ascii="Arial" w:hAnsi="Arial"/>
          <w:noProof w:val="0"/>
          <w:rtl/>
        </w:rPr>
        <w:t>, בהעדר הצדדים.</w:t>
      </w:r>
    </w:p>
    <w:p w:rsidR="00A77908" w:rsidRDefault="00A77908" w:rsidP="00A77908">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1736736771"/>
          <w:placeholder>
            <w:docPart w:val="0460C2B47E0641EA9A17D71CA1DDBA0F"/>
          </w:placeholder>
          <w:showingPlcHdr/>
          <w:text w:multiLine="1"/>
        </w:sdtPr>
        <w:sdtEndPr/>
        <w:sdtContent/>
      </w:sdt>
      <w:r>
        <w:rPr>
          <w:rFonts w:ascii="Arial" w:hAnsi="Arial"/>
          <w:noProof w:val="0"/>
          <w:rtl/>
        </w:rPr>
        <w:tab/>
      </w:r>
      <w:r>
        <w:rPr>
          <w:rFonts w:ascii="Arial" w:hAnsi="Arial"/>
          <w:noProof w:val="0"/>
          <w:rtl/>
        </w:rPr>
        <w:tab/>
        <w:t xml:space="preserve"> </w:t>
      </w:r>
    </w:p>
    <w:p w:rsidR="00A77908" w:rsidRDefault="001C5354" w:rsidP="00A77908">
      <w:pPr>
        <w:spacing w:line="360" w:lineRule="auto"/>
        <w:ind w:left="3600" w:firstLine="720"/>
        <w:rPr>
          <w:rtl/>
        </w:rPr>
      </w:pPr>
      <w:sdt>
        <w:sdtPr>
          <w:rPr>
            <w:rtl/>
          </w:rPr>
          <w:alias w:val="MergeField"/>
          <w:tag w:val="1237"/>
          <w:id w:val="823939224"/>
        </w:sdtPr>
        <w:sdtEndPr/>
        <w:sdtContent>
          <w:r w:rsidR="00A77908">
            <w:drawing>
              <wp:inline distT="0" distB="0" distL="0" distR="0">
                <wp:extent cx="800100" cy="466725"/>
                <wp:effectExtent l="0" t="0" r="0" b="952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0100" cy="466725"/>
                        </a:xfrm>
                        <a:prstGeom prst="rect">
                          <a:avLst/>
                        </a:prstGeom>
                        <a:noFill/>
                        <a:ln>
                          <a:noFill/>
                        </a:ln>
                      </pic:spPr>
                    </pic:pic>
                  </a:graphicData>
                </a:graphic>
              </wp:inline>
            </w:drawing>
          </w:r>
        </w:sdtContent>
      </w:sdt>
    </w:p>
    <w:p w:rsidR="00A77908" w:rsidRDefault="00A77908" w:rsidP="00A77908">
      <w:pPr>
        <w:spacing w:line="360" w:lineRule="auto"/>
        <w:ind w:left="3600" w:firstLine="720"/>
        <w:rPr>
          <w:rFonts w:ascii="Arial" w:hAnsi="Arial"/>
          <w:noProof w:val="0"/>
        </w:rPr>
      </w:pPr>
    </w:p>
    <w:p w:rsidR="00A77908" w:rsidRDefault="00A77908" w:rsidP="00A77908">
      <w:pPr>
        <w:spacing w:line="360" w:lineRule="auto"/>
        <w:jc w:val="both"/>
        <w:rPr>
          <w:rFonts w:ascii="Arial" w:hAnsi="Arial"/>
          <w:noProof w:val="0"/>
          <w:rtl/>
        </w:rPr>
      </w:pPr>
    </w:p>
    <w:p w:rsidR="00A77908" w:rsidRDefault="00A77908" w:rsidP="00A77908">
      <w:pPr>
        <w:spacing w:line="360" w:lineRule="auto"/>
        <w:jc w:val="both"/>
        <w:rPr>
          <w:rFonts w:ascii="Arial" w:hAnsi="Arial"/>
          <w:noProof w:val="0"/>
          <w:rtl/>
        </w:rPr>
      </w:pPr>
    </w:p>
    <w:p w:rsidR="00CB1E7A" w:rsidRPr="00F43693" w:rsidRDefault="00CB1E7A" w:rsidP="00F43693"/>
    <w:sectPr w:rsidR="00CB1E7A" w:rsidRPr="00F43693" w:rsidSect="006C30C5">
      <w:headerReference w:type="default" r:id="rId8"/>
      <w:footerReference w:type="default" r:id="rId9"/>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5354" w:rsidRDefault="001C5354" w:rsidP="00A30504">
      <w:r>
        <w:separator/>
      </w:r>
    </w:p>
  </w:endnote>
  <w:endnote w:type="continuationSeparator" w:id="0">
    <w:p w:rsidR="001C5354" w:rsidRDefault="001C5354"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821BD6">
      <w:rPr>
        <w:rStyle w:val="a8"/>
        <w:rtl/>
      </w:rPr>
      <w:t>1</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821BD6">
      <w:rPr>
        <w:rStyle w:val="a8"/>
        <w:rtl/>
      </w:rPr>
      <w:t>4</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5354" w:rsidRDefault="001C5354" w:rsidP="00A30504">
      <w:r>
        <w:separator/>
      </w:r>
    </w:p>
  </w:footnote>
  <w:footnote w:type="continuationSeparator" w:id="0">
    <w:p w:rsidR="001C5354" w:rsidRDefault="001C5354" w:rsidP="00A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330799" w:rsidRPr="00CB1E7A" w:rsidRDefault="00CB1E7A" w:rsidP="00CB1E7A">
    <w:pPr>
      <w:rPr>
        <w:sz w:val="20"/>
        <w:szCs w:val="20"/>
        <w:rtl/>
      </w:rPr>
    </w:pPr>
    <w:r w:rsidRPr="00CB1E7A">
      <w:rPr>
        <w:rtl/>
      </w:rPr>
      <w:t xml:space="preserve">                           </w:t>
    </w:r>
    <w:r w:rsidRPr="00CB1E7A">
      <w:rPr>
        <w:sz w:val="20"/>
        <w:szCs w:val="20"/>
        <w:rtl/>
      </w:rPr>
      <w:t xml:space="preserve">                                 </w:t>
    </w:r>
  </w:p>
  <w:tbl>
    <w:tblPr>
      <w:bidiVisual/>
      <w:tblW w:w="0" w:type="auto"/>
      <w:jc w:val="center"/>
      <w:tblLook w:val="04A0" w:firstRow="1" w:lastRow="0" w:firstColumn="1" w:lastColumn="0" w:noHBand="0" w:noVBand="1"/>
    </w:tblPr>
    <w:tblGrid>
      <w:gridCol w:w="8505"/>
    </w:tblGrid>
    <w:tr w:rsidR="00330799" w:rsidTr="00F43693">
      <w:trPr>
        <w:trHeight w:val="670"/>
        <w:jc w:val="center"/>
      </w:trPr>
      <w:sdt>
        <w:sdtPr>
          <w:rPr>
            <w:rtl/>
          </w:rPr>
          <w:alias w:val="1174"/>
          <w:tag w:val="1174"/>
          <w:id w:val="-1775709220"/>
          <w:text/>
        </w:sdtPr>
        <w:sdtEndPr/>
        <w:sdtContent>
          <w:tc>
            <w:tcPr>
              <w:tcW w:w="8505" w:type="dxa"/>
              <w:hideMark/>
            </w:tcPr>
            <w:p w:rsidR="00330799" w:rsidRDefault="00330799" w:rsidP="00330799">
              <w:pPr>
                <w:pStyle w:val="a3"/>
                <w:jc w:val="center"/>
              </w:pPr>
              <w:r>
                <w:rPr>
                  <w:rFonts w:ascii="Tahoma" w:hAnsi="Tahoma" w:cs="Tahoma"/>
                  <w:b/>
                  <w:bCs/>
                  <w:noProof w:val="0"/>
                  <w:color w:val="000080"/>
                  <w:rtl/>
                </w:rPr>
                <w:t>בית משפט לענייני משפחה בקריית גת</w:t>
              </w:r>
            </w:p>
          </w:tc>
        </w:sdtContent>
      </w:sdt>
    </w:tr>
  </w:tbl>
  <w:p w:rsidR="00A77908" w:rsidRPr="00A77908" w:rsidRDefault="00FD64F7" w:rsidP="00A77908">
    <w:pPr>
      <w:rPr>
        <w:rFonts w:ascii="David" w:hAnsi="David"/>
        <w:b/>
        <w:bCs/>
        <w:noProof w:val="0"/>
        <w:rtl/>
      </w:rPr>
    </w:pPr>
    <w:r>
      <w:rPr>
        <w:rFonts w:ascii="David" w:hAnsi="David"/>
        <w:b/>
        <w:bCs/>
        <w:noProof w:val="0"/>
        <w:rtl/>
      </w:rPr>
      <w:t>תמ"ש 54696-10-22 א</w:t>
    </w:r>
    <w:r>
      <w:rPr>
        <w:rFonts w:ascii="David" w:hAnsi="David" w:hint="cs"/>
        <w:b/>
        <w:bCs/>
        <w:noProof w:val="0"/>
        <w:rtl/>
      </w:rPr>
      <w:t>'</w:t>
    </w:r>
    <w:r>
      <w:rPr>
        <w:rFonts w:ascii="David" w:hAnsi="David"/>
        <w:b/>
        <w:bCs/>
        <w:noProof w:val="0"/>
        <w:rtl/>
      </w:rPr>
      <w:t xml:space="preserve"> ואח' נ' </w:t>
    </w:r>
    <w:r>
      <w:rPr>
        <w:rFonts w:ascii="David" w:hAnsi="David" w:hint="cs"/>
        <w:b/>
        <w:bCs/>
        <w:noProof w:val="0"/>
        <w:rtl/>
      </w:rPr>
      <w:t>ג'</w:t>
    </w:r>
  </w:p>
  <w:p w:rsidR="00A77908" w:rsidRPr="00A77908" w:rsidRDefault="00A77908" w:rsidP="00A77908">
    <w:pPr>
      <w:rPr>
        <w:rFonts w:ascii="David" w:hAnsi="David"/>
        <w:noProof w:val="0"/>
        <w:rtl/>
      </w:rPr>
    </w:pPr>
  </w:p>
  <w:p w:rsidR="0000787B" w:rsidRPr="00330799" w:rsidRDefault="00A77908" w:rsidP="00A77908">
    <w:pPr>
      <w:rPr>
        <w:rFonts w:ascii="David" w:hAnsi="David"/>
        <w:noProof w:val="0"/>
        <w:rtl/>
      </w:rPr>
    </w:pPr>
    <w:r w:rsidRPr="00A77908">
      <w:rPr>
        <w:rFonts w:ascii="David" w:hAnsi="David"/>
        <w:noProof w:val="0"/>
        <w:rtl/>
      </w:rPr>
      <w:t xml:space="preserve">תיק חיצוני:   </w:t>
    </w:r>
    <w:r w:rsidRPr="00A77908">
      <w:rPr>
        <w:rFonts w:ascii="David" w:hAnsi="David"/>
        <w:noProof w:val="0"/>
        <w:rtl/>
      </w:rPr>
      <w:c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24C84733"/>
    <w:multiLevelType w:val="hybridMultilevel"/>
    <w:tmpl w:val="7B92F2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4D0C0A6C"/>
    <w:multiLevelType w:val="hybridMultilevel"/>
    <w:tmpl w:val="2AA0809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E6940"/>
    <w:rsid w:val="00112F6C"/>
    <w:rsid w:val="00123396"/>
    <w:rsid w:val="001C5354"/>
    <w:rsid w:val="001F032F"/>
    <w:rsid w:val="00204361"/>
    <w:rsid w:val="00310C88"/>
    <w:rsid w:val="00330799"/>
    <w:rsid w:val="00414D88"/>
    <w:rsid w:val="004204FE"/>
    <w:rsid w:val="00487C9F"/>
    <w:rsid w:val="005C7A13"/>
    <w:rsid w:val="00671EB3"/>
    <w:rsid w:val="006A10DE"/>
    <w:rsid w:val="0075045D"/>
    <w:rsid w:val="00821BD6"/>
    <w:rsid w:val="00832ED3"/>
    <w:rsid w:val="00A30504"/>
    <w:rsid w:val="00A77908"/>
    <w:rsid w:val="00C1241C"/>
    <w:rsid w:val="00C827A6"/>
    <w:rsid w:val="00CB1E7A"/>
    <w:rsid w:val="00D62C22"/>
    <w:rsid w:val="00D76B8C"/>
    <w:rsid w:val="00DA5B84"/>
    <w:rsid w:val="00DF1F3E"/>
    <w:rsid w:val="00E44517"/>
    <w:rsid w:val="00EF7B09"/>
    <w:rsid w:val="00F43693"/>
    <w:rsid w:val="00FD64F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79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30504"/>
    <w:pPr>
      <w:tabs>
        <w:tab w:val="center" w:pos="4153"/>
        <w:tab w:val="right" w:pos="8306"/>
      </w:tabs>
    </w:pPr>
  </w:style>
  <w:style w:type="character" w:customStyle="1" w:styleId="a4">
    <w:name w:val="כותרת עליונה תו"/>
    <w:basedOn w:val="a0"/>
    <w:link w:val="a3"/>
    <w:uiPriority w:val="99"/>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366088">
      <w:bodyDiv w:val="1"/>
      <w:marLeft w:val="0"/>
      <w:marRight w:val="0"/>
      <w:marTop w:val="0"/>
      <w:marBottom w:val="0"/>
      <w:divBdr>
        <w:top w:val="none" w:sz="0" w:space="0" w:color="auto"/>
        <w:left w:val="none" w:sz="0" w:space="0" w:color="auto"/>
        <w:bottom w:val="none" w:sz="0" w:space="0" w:color="auto"/>
        <w:right w:val="none" w:sz="0" w:space="0" w:color="auto"/>
      </w:divBdr>
    </w:div>
    <w:div w:id="647132013">
      <w:bodyDiv w:val="1"/>
      <w:marLeft w:val="0"/>
      <w:marRight w:val="0"/>
      <w:marTop w:val="0"/>
      <w:marBottom w:val="0"/>
      <w:divBdr>
        <w:top w:val="none" w:sz="0" w:space="0" w:color="auto"/>
        <w:left w:val="none" w:sz="0" w:space="0" w:color="auto"/>
        <w:bottom w:val="none" w:sz="0" w:space="0" w:color="auto"/>
        <w:right w:val="none" w:sz="0" w:space="0" w:color="auto"/>
      </w:divBdr>
    </w:div>
    <w:div w:id="758454342">
      <w:bodyDiv w:val="1"/>
      <w:marLeft w:val="0"/>
      <w:marRight w:val="0"/>
      <w:marTop w:val="0"/>
      <w:marBottom w:val="0"/>
      <w:divBdr>
        <w:top w:val="none" w:sz="0" w:space="0" w:color="auto"/>
        <w:left w:val="none" w:sz="0" w:space="0" w:color="auto"/>
        <w:bottom w:val="none" w:sz="0" w:space="0" w:color="auto"/>
        <w:right w:val="none" w:sz="0" w:space="0" w:color="auto"/>
      </w:divBdr>
    </w:div>
    <w:div w:id="1695568621">
      <w:bodyDiv w:val="1"/>
      <w:marLeft w:val="0"/>
      <w:marRight w:val="0"/>
      <w:marTop w:val="0"/>
      <w:marBottom w:val="0"/>
      <w:divBdr>
        <w:top w:val="none" w:sz="0" w:space="0" w:color="auto"/>
        <w:left w:val="none" w:sz="0" w:space="0" w:color="auto"/>
        <w:bottom w:val="none" w:sz="0" w:space="0" w:color="auto"/>
        <w:right w:val="none" w:sz="0" w:space="0" w:color="auto"/>
      </w:divBdr>
    </w:div>
    <w:div w:id="174694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C92F834941F4F56B4479C9B6B90DFB0"/>
        <w:category>
          <w:name w:val="כללי"/>
          <w:gallery w:val="placeholder"/>
        </w:category>
        <w:types>
          <w:type w:val="bbPlcHdr"/>
        </w:types>
        <w:behaviors>
          <w:behavior w:val="content"/>
        </w:behaviors>
        <w:guid w:val="{1039D457-6F7D-4C33-B880-EE08843AB8D0}"/>
      </w:docPartPr>
      <w:docPartBody>
        <w:p w:rsidR="0056305A" w:rsidRDefault="00A957F3" w:rsidP="00A957F3">
          <w:pPr>
            <w:pStyle w:val="EC92F834941F4F56B4479C9B6B90DFB0"/>
          </w:pPr>
          <w:r>
            <w:rPr>
              <w:b/>
              <w:bCs/>
              <w:sz w:val="28"/>
              <w:rtl/>
            </w:rPr>
            <w:t>סוג זיהוי צד א'</w:t>
          </w:r>
        </w:p>
      </w:docPartBody>
    </w:docPart>
    <w:docPart>
      <w:docPartPr>
        <w:name w:val="0A108A7BB88348549606808766B7EB77"/>
        <w:category>
          <w:name w:val="כללי"/>
          <w:gallery w:val="placeholder"/>
        </w:category>
        <w:types>
          <w:type w:val="bbPlcHdr"/>
        </w:types>
        <w:behaviors>
          <w:behavior w:val="content"/>
        </w:behaviors>
        <w:guid w:val="{6CA3D17D-C532-464E-833C-A2BA5A733E31}"/>
      </w:docPartPr>
      <w:docPartBody>
        <w:p w:rsidR="0056305A" w:rsidRDefault="00A957F3" w:rsidP="00A957F3">
          <w:pPr>
            <w:pStyle w:val="0A108A7BB88348549606808766B7EB77"/>
          </w:pPr>
          <w:r>
            <w:rPr>
              <w:b/>
              <w:bCs/>
              <w:sz w:val="28"/>
              <w:rtl/>
            </w:rPr>
            <w:t>סוג זיהוי צד ב'</w:t>
          </w:r>
        </w:p>
      </w:docPartBody>
    </w:docPart>
    <w:docPart>
      <w:docPartPr>
        <w:name w:val="0460C2B47E0641EA9A17D71CA1DDBA0F"/>
        <w:category>
          <w:name w:val="כללי"/>
          <w:gallery w:val="placeholder"/>
        </w:category>
        <w:types>
          <w:type w:val="bbPlcHdr"/>
        </w:types>
        <w:behaviors>
          <w:behavior w:val="content"/>
        </w:behaviors>
        <w:guid w:val="{FD93B7D9-7819-4E91-82B0-FFECBF9250D8}"/>
      </w:docPartPr>
      <w:docPartBody>
        <w:p w:rsidR="0056305A" w:rsidRDefault="00A957F3" w:rsidP="00A957F3">
          <w:pPr>
            <w:pStyle w:val="0460C2B47E0641EA9A17D71CA1DDBA0F"/>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841"/>
    <w:rsid w:val="0056305A"/>
    <w:rsid w:val="007615C0"/>
    <w:rsid w:val="00A957F3"/>
    <w:rsid w:val="00E17978"/>
    <w:rsid w:val="00F948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4294DFC47F540F284286B250375FB0A">
    <w:name w:val="34294DFC47F540F284286B250375FB0A"/>
    <w:rsid w:val="00F94841"/>
    <w:pPr>
      <w:bidi/>
    </w:pPr>
  </w:style>
  <w:style w:type="paragraph" w:customStyle="1" w:styleId="03664DF8261541AAAED09F96CD4A5D17">
    <w:name w:val="03664DF8261541AAAED09F96CD4A5D17"/>
    <w:rsid w:val="00F94841"/>
    <w:pPr>
      <w:bidi/>
    </w:pPr>
  </w:style>
  <w:style w:type="paragraph" w:customStyle="1" w:styleId="85EFCFF3A1A948538DF90AEC64E9B7CD">
    <w:name w:val="85EFCFF3A1A948538DF90AEC64E9B7CD"/>
    <w:rsid w:val="00F94841"/>
    <w:pPr>
      <w:bidi/>
    </w:pPr>
  </w:style>
  <w:style w:type="paragraph" w:customStyle="1" w:styleId="2AD4DB4F81CA472883BCE66EC2DCF10A">
    <w:name w:val="2AD4DB4F81CA472883BCE66EC2DCF10A"/>
    <w:rsid w:val="00F94841"/>
    <w:pPr>
      <w:bidi/>
    </w:pPr>
  </w:style>
  <w:style w:type="character" w:styleId="a3">
    <w:name w:val="Placeholder Text"/>
    <w:basedOn w:val="a0"/>
    <w:uiPriority w:val="99"/>
    <w:semiHidden/>
    <w:rsid w:val="00A957F3"/>
  </w:style>
  <w:style w:type="paragraph" w:customStyle="1" w:styleId="AA84A2823C0B45FBAD1A35D5ED710CA8">
    <w:name w:val="AA84A2823C0B45FBAD1A35D5ED710CA8"/>
    <w:rsid w:val="00F94841"/>
    <w:pPr>
      <w:bidi/>
    </w:pPr>
  </w:style>
  <w:style w:type="paragraph" w:customStyle="1" w:styleId="EC92F834941F4F56B4479C9B6B90DFB0">
    <w:name w:val="EC92F834941F4F56B4479C9B6B90DFB0"/>
    <w:rsid w:val="00A957F3"/>
    <w:pPr>
      <w:bidi/>
    </w:pPr>
  </w:style>
  <w:style w:type="paragraph" w:customStyle="1" w:styleId="A46FF062262C471D819DE54788DA7D4A">
    <w:name w:val="A46FF062262C471D819DE54788DA7D4A"/>
    <w:rsid w:val="00A957F3"/>
    <w:pPr>
      <w:bidi/>
    </w:pPr>
  </w:style>
  <w:style w:type="paragraph" w:customStyle="1" w:styleId="0A108A7BB88348549606808766B7EB77">
    <w:name w:val="0A108A7BB88348549606808766B7EB77"/>
    <w:rsid w:val="00A957F3"/>
    <w:pPr>
      <w:bidi/>
    </w:pPr>
  </w:style>
  <w:style w:type="paragraph" w:customStyle="1" w:styleId="B546F0E9D4314A9D9AA3D4A4E309F46E">
    <w:name w:val="B546F0E9D4314A9D9AA3D4A4E309F46E"/>
    <w:rsid w:val="00A957F3"/>
    <w:pPr>
      <w:bidi/>
    </w:pPr>
  </w:style>
  <w:style w:type="paragraph" w:customStyle="1" w:styleId="0460C2B47E0641EA9A17D71CA1DDBA0F">
    <w:name w:val="0460C2B47E0641EA9A17D71CA1DDBA0F"/>
    <w:rsid w:val="00A957F3"/>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1035</Words>
  <Characters>5178</Characters>
  <Application>Microsoft Office Word</Application>
  <DocSecurity>0</DocSecurity>
  <Lines>43</Lines>
  <Paragraphs>12</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אסתר טטרואשילי</cp:lastModifiedBy>
  <cp:revision>2</cp:revision>
  <cp:lastPrinted>2021-12-30T11:23:00Z</cp:lastPrinted>
  <dcterms:created xsi:type="dcterms:W3CDTF">2023-11-30T09:34:00Z</dcterms:created>
  <dcterms:modified xsi:type="dcterms:W3CDTF">2023-11-30T09:34:00Z</dcterms:modified>
</cp:coreProperties>
</file>